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9EE" w:rsidRDefault="000159EE" w:rsidP="002F1C69">
      <w:r>
        <w:tab/>
      </w:r>
      <w:r w:rsidR="002F1C69" w:rsidRPr="002F1C69">
        <w:rPr>
          <w:noProof/>
          <w:lang w:eastAsia="fr-F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-295275</wp:posOffset>
            </wp:positionV>
            <wp:extent cx="2418715" cy="1476375"/>
            <wp:effectExtent l="19050" t="0" r="635" b="0"/>
            <wp:wrapNone/>
            <wp:docPr id="4" name="Image 1" descr="logo-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is"/>
                    <pic:cNvPicPr>
                      <a:picLocks noChangeAspect="1" noChangeArrowheads="1"/>
                    </pic:cNvPicPr>
                  </pic:nvPicPr>
                  <pic:blipFill>
                    <a:blip r:embed="rId4" cstate="print"/>
                    <a:srcRect/>
                    <a:stretch>
                      <a:fillRect/>
                    </a:stretch>
                  </pic:blipFill>
                  <pic:spPr bwMode="auto">
                    <a:xfrm>
                      <a:off x="0" y="0"/>
                      <a:ext cx="2418715" cy="1476375"/>
                    </a:xfrm>
                    <a:prstGeom prst="rect">
                      <a:avLst/>
                    </a:prstGeom>
                    <a:noFill/>
                    <a:ln w="9525">
                      <a:noFill/>
                      <a:miter lim="800000"/>
                      <a:headEnd/>
                      <a:tailEnd/>
                    </a:ln>
                  </pic:spPr>
                </pic:pic>
              </a:graphicData>
            </a:graphic>
          </wp:anchor>
        </w:drawing>
      </w:r>
      <w:r>
        <w:tab/>
      </w:r>
      <w:r>
        <w:tab/>
      </w:r>
      <w:r>
        <w:tab/>
      </w:r>
      <w:r>
        <w:tab/>
      </w:r>
      <w:r>
        <w:tab/>
      </w:r>
      <w:r>
        <w:tab/>
      </w:r>
      <w:r>
        <w:tab/>
      </w:r>
    </w:p>
    <w:p w:rsidR="002F1C69" w:rsidRDefault="002F1C69" w:rsidP="002F1C69"/>
    <w:p w:rsidR="002F1C69" w:rsidRPr="000159EE" w:rsidRDefault="002F1C69" w:rsidP="002F1C69">
      <w:pPr>
        <w:rPr>
          <w:b/>
          <w:color w:val="4A442A" w:themeColor="background2" w:themeShade="40"/>
          <w:sz w:val="40"/>
          <w:szCs w:val="40"/>
        </w:rPr>
      </w:pPr>
    </w:p>
    <w:p w:rsidR="002F1C69" w:rsidRDefault="002F1C69" w:rsidP="002F1C69">
      <w:pPr>
        <w:pStyle w:val="Titre1"/>
        <w:spacing w:before="0"/>
        <w:jc w:val="center"/>
        <w:rPr>
          <w:color w:val="F79646" w:themeColor="accent6"/>
          <w:sz w:val="16"/>
          <w:szCs w:val="16"/>
        </w:rPr>
      </w:pPr>
    </w:p>
    <w:p w:rsidR="002F1C69" w:rsidRPr="0068475A" w:rsidRDefault="002F1C69" w:rsidP="002F1C69">
      <w:pPr>
        <w:pStyle w:val="Titre1"/>
        <w:spacing w:before="0"/>
        <w:jc w:val="center"/>
        <w:rPr>
          <w:color w:val="F79646" w:themeColor="accent6"/>
          <w:sz w:val="32"/>
        </w:rPr>
      </w:pPr>
      <w:r w:rsidRPr="0068475A">
        <w:rPr>
          <w:color w:val="F79646" w:themeColor="accent6"/>
          <w:sz w:val="32"/>
        </w:rPr>
        <w:t>A</w:t>
      </w:r>
      <w:r>
        <w:rPr>
          <w:color w:val="F79646" w:themeColor="accent6"/>
          <w:sz w:val="32"/>
        </w:rPr>
        <w:t>OC TOURAINE-AMBOISE</w:t>
      </w:r>
    </w:p>
    <w:p w:rsidR="002F1C69" w:rsidRPr="0068475A" w:rsidRDefault="002F1C69" w:rsidP="002F1C69">
      <w:pPr>
        <w:pStyle w:val="Titre1"/>
        <w:spacing w:before="0"/>
        <w:jc w:val="center"/>
        <w:rPr>
          <w:color w:val="F79646" w:themeColor="accent6"/>
          <w:sz w:val="32"/>
        </w:rPr>
      </w:pPr>
      <w:r>
        <w:rPr>
          <w:color w:val="F79646" w:themeColor="accent6"/>
          <w:sz w:val="32"/>
        </w:rPr>
        <w:t>CÔT VIEILLES VIGNES</w:t>
      </w:r>
      <w:r w:rsidRPr="0068475A">
        <w:rPr>
          <w:color w:val="F79646" w:themeColor="accent6"/>
          <w:sz w:val="32"/>
        </w:rPr>
        <w:t xml:space="preserve"> 20</w:t>
      </w:r>
      <w:r w:rsidR="008D7365">
        <w:rPr>
          <w:color w:val="F79646" w:themeColor="accent6"/>
          <w:sz w:val="32"/>
        </w:rPr>
        <w:t>2</w:t>
      </w:r>
      <w:r w:rsidR="00560C80">
        <w:rPr>
          <w:color w:val="F79646" w:themeColor="accent6"/>
          <w:sz w:val="32"/>
        </w:rPr>
        <w:t>1</w:t>
      </w:r>
    </w:p>
    <w:p w:rsidR="000159EE" w:rsidRPr="002F1C69" w:rsidRDefault="002F1C69" w:rsidP="002F1C69">
      <w:pPr>
        <w:spacing w:after="0"/>
        <w:jc w:val="both"/>
        <w:rPr>
          <w:rFonts w:asciiTheme="majorHAnsi" w:hAnsiTheme="majorHAnsi"/>
          <w:sz w:val="40"/>
          <w:szCs w:val="40"/>
        </w:rPr>
      </w:pPr>
      <w:r>
        <w:rPr>
          <w:rFonts w:asciiTheme="majorHAnsi" w:hAnsiTheme="majorHAnsi"/>
          <w:noProof/>
          <w:sz w:val="40"/>
          <w:szCs w:val="40"/>
          <w:lang w:eastAsia="fr-FR"/>
        </w:rPr>
        <w:drawing>
          <wp:anchor distT="0" distB="0" distL="114300" distR="114300" simplePos="0" relativeHeight="251660288" behindDoc="1" locked="0" layoutInCell="1" allowOverlap="1">
            <wp:simplePos x="0" y="0"/>
            <wp:positionH relativeFrom="column">
              <wp:posOffset>4229100</wp:posOffset>
            </wp:positionH>
            <wp:positionV relativeFrom="paragraph">
              <wp:posOffset>175895</wp:posOffset>
            </wp:positionV>
            <wp:extent cx="2606040" cy="6305550"/>
            <wp:effectExtent l="19050" t="0" r="3810" b="0"/>
            <wp:wrapTight wrapText="bothSides">
              <wp:wrapPolygon edited="0">
                <wp:start x="-158" y="0"/>
                <wp:lineTo x="-158" y="21535"/>
                <wp:lineTo x="21632" y="21535"/>
                <wp:lineTo x="21632" y="0"/>
                <wp:lineTo x="-158" y="0"/>
              </wp:wrapPolygon>
            </wp:wrapTight>
            <wp:docPr id="2" name="Image 1" descr="Côt VV détou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ôt VV détouré.jpg"/>
                    <pic:cNvPicPr/>
                  </pic:nvPicPr>
                  <pic:blipFill>
                    <a:blip r:embed="rId5" cstate="print"/>
                    <a:stretch>
                      <a:fillRect/>
                    </a:stretch>
                  </pic:blipFill>
                  <pic:spPr>
                    <a:xfrm>
                      <a:off x="0" y="0"/>
                      <a:ext cx="2606040" cy="6305550"/>
                    </a:xfrm>
                    <a:prstGeom prst="rect">
                      <a:avLst/>
                    </a:prstGeom>
                  </pic:spPr>
                </pic:pic>
              </a:graphicData>
            </a:graphic>
          </wp:anchor>
        </w:drawing>
      </w:r>
    </w:p>
    <w:p w:rsidR="000159EE" w:rsidRPr="002F1C69" w:rsidRDefault="000159E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Cépage :</w:t>
      </w:r>
      <w:r w:rsidRPr="002F1C69">
        <w:rPr>
          <w:rFonts w:asciiTheme="majorHAnsi" w:hAnsiTheme="majorHAnsi"/>
          <w:sz w:val="24"/>
          <w:szCs w:val="24"/>
        </w:rPr>
        <w:t xml:space="preserve"> </w:t>
      </w:r>
      <w:r w:rsidR="00FA4A68" w:rsidRPr="002F1C69">
        <w:rPr>
          <w:rFonts w:asciiTheme="majorHAnsi" w:hAnsiTheme="majorHAnsi"/>
          <w:sz w:val="24"/>
          <w:szCs w:val="24"/>
        </w:rPr>
        <w:t xml:space="preserve">Côt </w:t>
      </w:r>
    </w:p>
    <w:p w:rsidR="00915ADE" w:rsidRPr="002F1C69" w:rsidRDefault="00915ADE" w:rsidP="002F1C69">
      <w:pPr>
        <w:spacing w:after="0"/>
        <w:jc w:val="both"/>
        <w:rPr>
          <w:rFonts w:asciiTheme="majorHAnsi" w:hAnsiTheme="majorHAnsi"/>
          <w:sz w:val="24"/>
          <w:szCs w:val="24"/>
        </w:rPr>
      </w:pPr>
    </w:p>
    <w:p w:rsidR="00915ADE" w:rsidRPr="002F1C69" w:rsidRDefault="00915AD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Type de vin :</w:t>
      </w:r>
      <w:r w:rsidRPr="002F1C69">
        <w:rPr>
          <w:rFonts w:asciiTheme="majorHAnsi" w:hAnsiTheme="majorHAnsi"/>
          <w:sz w:val="24"/>
          <w:szCs w:val="24"/>
        </w:rPr>
        <w:t xml:space="preserve"> </w:t>
      </w:r>
      <w:r w:rsidR="00832453" w:rsidRPr="002F1C69">
        <w:rPr>
          <w:rFonts w:asciiTheme="majorHAnsi" w:hAnsiTheme="majorHAnsi"/>
          <w:sz w:val="24"/>
          <w:szCs w:val="24"/>
        </w:rPr>
        <w:t xml:space="preserve">vin </w:t>
      </w:r>
      <w:r w:rsidR="00FA4A68" w:rsidRPr="002F1C69">
        <w:rPr>
          <w:rFonts w:asciiTheme="majorHAnsi" w:hAnsiTheme="majorHAnsi"/>
          <w:sz w:val="24"/>
          <w:szCs w:val="24"/>
        </w:rPr>
        <w:t>rouge, AOC Touraine-Amboise</w:t>
      </w:r>
    </w:p>
    <w:p w:rsidR="000159EE" w:rsidRPr="002F1C69" w:rsidRDefault="000159EE" w:rsidP="002F1C69">
      <w:pPr>
        <w:spacing w:after="0"/>
        <w:jc w:val="both"/>
        <w:rPr>
          <w:rFonts w:asciiTheme="majorHAnsi" w:hAnsiTheme="majorHAnsi"/>
          <w:sz w:val="24"/>
          <w:szCs w:val="24"/>
        </w:rPr>
      </w:pPr>
    </w:p>
    <w:p w:rsidR="000159EE" w:rsidRPr="002F1C69" w:rsidRDefault="000159E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En 3 mots :</w:t>
      </w:r>
      <w:r w:rsidRPr="002F1C69">
        <w:rPr>
          <w:rFonts w:asciiTheme="majorHAnsi" w:hAnsiTheme="majorHAnsi"/>
          <w:sz w:val="24"/>
          <w:szCs w:val="24"/>
        </w:rPr>
        <w:t xml:space="preserve"> </w:t>
      </w:r>
      <w:r w:rsidR="00FA4A68" w:rsidRPr="002F1C69">
        <w:rPr>
          <w:rFonts w:asciiTheme="majorHAnsi" w:hAnsiTheme="majorHAnsi"/>
          <w:sz w:val="24"/>
          <w:szCs w:val="24"/>
        </w:rPr>
        <w:t>tendresse de l’âge canonique</w:t>
      </w:r>
      <w:r w:rsidR="00560C80">
        <w:rPr>
          <w:rFonts w:asciiTheme="majorHAnsi" w:hAnsiTheme="majorHAnsi"/>
          <w:sz w:val="24"/>
          <w:szCs w:val="24"/>
        </w:rPr>
        <w:t xml:space="preserve"> ou main de fer dans un gant de </w:t>
      </w:r>
      <w:proofErr w:type="spellStart"/>
      <w:r w:rsidR="00560C80">
        <w:rPr>
          <w:rFonts w:asciiTheme="majorHAnsi" w:hAnsiTheme="majorHAnsi"/>
          <w:sz w:val="24"/>
          <w:szCs w:val="24"/>
        </w:rPr>
        <w:t>velour</w:t>
      </w:r>
      <w:proofErr w:type="spellEnd"/>
    </w:p>
    <w:p w:rsidR="000159EE" w:rsidRPr="002F1C69" w:rsidRDefault="000159EE" w:rsidP="002F1C69">
      <w:pPr>
        <w:spacing w:after="0"/>
        <w:jc w:val="both"/>
        <w:rPr>
          <w:rFonts w:asciiTheme="majorHAnsi" w:hAnsiTheme="majorHAnsi"/>
          <w:color w:val="4A442A" w:themeColor="background2" w:themeShade="40"/>
          <w:sz w:val="24"/>
          <w:szCs w:val="24"/>
        </w:rPr>
      </w:pPr>
    </w:p>
    <w:p w:rsidR="000159EE" w:rsidRPr="002F1C69" w:rsidRDefault="000159E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Notre idée de ce</w:t>
      </w:r>
      <w:r w:rsidR="00915ADE" w:rsidRPr="002F1C69">
        <w:rPr>
          <w:rFonts w:asciiTheme="majorHAnsi" w:hAnsiTheme="majorHAnsi"/>
          <w:b/>
          <w:color w:val="E36C0A" w:themeColor="accent6" w:themeShade="BF"/>
          <w:sz w:val="24"/>
          <w:szCs w:val="24"/>
        </w:rPr>
        <w:t xml:space="preserve">tte cuvée : </w:t>
      </w:r>
      <w:r w:rsidR="00FA4A68" w:rsidRPr="002F1C69">
        <w:rPr>
          <w:rFonts w:asciiTheme="majorHAnsi" w:hAnsiTheme="majorHAnsi"/>
          <w:sz w:val="24"/>
          <w:szCs w:val="24"/>
        </w:rPr>
        <w:t>Garder des ceps de plus de 100 ans est un choix que nous assumons avec fierté. Ces vignes mâtures, posées et sages nous offrent un vin lui aussi d’une grande sagesse, capable d’exprimer les arômes du Côt avec beaucoup de distinction.</w:t>
      </w:r>
    </w:p>
    <w:p w:rsidR="00915ADE" w:rsidRPr="002F1C69" w:rsidRDefault="00915ADE" w:rsidP="002F1C69">
      <w:pPr>
        <w:spacing w:after="0"/>
        <w:jc w:val="both"/>
        <w:rPr>
          <w:rFonts w:asciiTheme="majorHAnsi" w:hAnsiTheme="majorHAnsi"/>
          <w:sz w:val="24"/>
          <w:szCs w:val="24"/>
        </w:rPr>
      </w:pPr>
    </w:p>
    <w:p w:rsidR="00915ADE" w:rsidRPr="002F1C69" w:rsidRDefault="00915AD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Accord mets/vin :</w:t>
      </w:r>
      <w:r w:rsidR="00832453" w:rsidRPr="002F1C69">
        <w:rPr>
          <w:rFonts w:asciiTheme="majorHAnsi" w:hAnsiTheme="majorHAnsi"/>
          <w:sz w:val="24"/>
          <w:szCs w:val="24"/>
        </w:rPr>
        <w:t xml:space="preserve"> </w:t>
      </w:r>
      <w:r w:rsidR="00FA4A68" w:rsidRPr="002F1C69">
        <w:rPr>
          <w:rFonts w:asciiTheme="majorHAnsi" w:hAnsiTheme="majorHAnsi"/>
          <w:sz w:val="24"/>
          <w:szCs w:val="24"/>
        </w:rPr>
        <w:t>Le Côt Vieilles Vignes saura accompagner vos plats de viandes mijotés, du gibier ou encore une belle viande rouge juteuse et tendre.</w:t>
      </w:r>
    </w:p>
    <w:p w:rsidR="00915ADE" w:rsidRPr="002F1C69" w:rsidRDefault="00915ADE" w:rsidP="002F1C69">
      <w:pPr>
        <w:spacing w:after="0"/>
        <w:jc w:val="both"/>
        <w:rPr>
          <w:rFonts w:asciiTheme="majorHAnsi" w:hAnsiTheme="majorHAnsi"/>
          <w:sz w:val="24"/>
          <w:szCs w:val="24"/>
        </w:rPr>
      </w:pPr>
    </w:p>
    <w:p w:rsidR="00915ADE" w:rsidRPr="002F1C69" w:rsidRDefault="00915AD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Potentiel de garde :</w:t>
      </w:r>
      <w:r w:rsidRPr="002F1C69">
        <w:rPr>
          <w:rFonts w:asciiTheme="majorHAnsi" w:hAnsiTheme="majorHAnsi"/>
          <w:sz w:val="24"/>
          <w:szCs w:val="24"/>
        </w:rPr>
        <w:t xml:space="preserve"> </w:t>
      </w:r>
      <w:r w:rsidR="00FA4A68" w:rsidRPr="002F1C69">
        <w:rPr>
          <w:rFonts w:asciiTheme="majorHAnsi" w:hAnsiTheme="majorHAnsi"/>
          <w:sz w:val="24"/>
          <w:szCs w:val="24"/>
        </w:rPr>
        <w:t>10 à 15</w:t>
      </w:r>
      <w:r w:rsidR="00832453" w:rsidRPr="002F1C69">
        <w:rPr>
          <w:rFonts w:asciiTheme="majorHAnsi" w:hAnsiTheme="majorHAnsi"/>
          <w:sz w:val="24"/>
          <w:szCs w:val="24"/>
        </w:rPr>
        <w:t xml:space="preserve"> ans</w:t>
      </w:r>
    </w:p>
    <w:p w:rsidR="00915ADE" w:rsidRPr="002F1C69" w:rsidRDefault="00915AD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Conseil de service :</w:t>
      </w:r>
      <w:r w:rsidRPr="002F1C69">
        <w:rPr>
          <w:rFonts w:asciiTheme="majorHAnsi" w:hAnsiTheme="majorHAnsi"/>
          <w:sz w:val="24"/>
          <w:szCs w:val="24"/>
        </w:rPr>
        <w:t xml:space="preserve"> </w:t>
      </w:r>
      <w:r w:rsidR="00832453" w:rsidRPr="002F1C69">
        <w:rPr>
          <w:rFonts w:asciiTheme="majorHAnsi" w:hAnsiTheme="majorHAnsi"/>
          <w:sz w:val="24"/>
          <w:szCs w:val="24"/>
        </w:rPr>
        <w:t>ouvrir 2h avant de le boire et le servir</w:t>
      </w:r>
      <w:r w:rsidR="00FA4A68" w:rsidRPr="002F1C69">
        <w:rPr>
          <w:rFonts w:asciiTheme="majorHAnsi" w:hAnsiTheme="majorHAnsi"/>
          <w:sz w:val="24"/>
          <w:szCs w:val="24"/>
        </w:rPr>
        <w:t xml:space="preserve"> à 18</w:t>
      </w:r>
      <w:r w:rsidRPr="002F1C69">
        <w:rPr>
          <w:rFonts w:asciiTheme="majorHAnsi" w:hAnsiTheme="majorHAnsi"/>
          <w:sz w:val="24"/>
          <w:szCs w:val="24"/>
        </w:rPr>
        <w:t>°C</w:t>
      </w:r>
    </w:p>
    <w:p w:rsidR="00915ADE" w:rsidRPr="002F1C69" w:rsidRDefault="00915ADE" w:rsidP="002F1C69">
      <w:pPr>
        <w:spacing w:after="0"/>
        <w:jc w:val="both"/>
        <w:rPr>
          <w:rFonts w:asciiTheme="majorHAnsi" w:hAnsiTheme="majorHAnsi"/>
          <w:sz w:val="24"/>
          <w:szCs w:val="24"/>
        </w:rPr>
      </w:pPr>
    </w:p>
    <w:p w:rsidR="00915ADE" w:rsidRPr="002F1C69" w:rsidRDefault="00915ADE" w:rsidP="002F1C69">
      <w:pPr>
        <w:spacing w:after="0"/>
        <w:jc w:val="both"/>
        <w:rPr>
          <w:rFonts w:asciiTheme="majorHAnsi" w:hAnsiTheme="majorHAnsi"/>
          <w:b/>
          <w:color w:val="E36C0A" w:themeColor="accent6" w:themeShade="BF"/>
          <w:sz w:val="28"/>
          <w:szCs w:val="28"/>
        </w:rPr>
      </w:pPr>
      <w:r w:rsidRPr="002F1C69">
        <w:rPr>
          <w:rFonts w:asciiTheme="majorHAnsi" w:hAnsiTheme="majorHAnsi"/>
          <w:b/>
          <w:color w:val="E36C0A" w:themeColor="accent6" w:themeShade="BF"/>
          <w:sz w:val="28"/>
          <w:szCs w:val="28"/>
        </w:rPr>
        <w:t>Pour en s</w:t>
      </w:r>
      <w:r w:rsidR="00B30134">
        <w:rPr>
          <w:rFonts w:asciiTheme="majorHAnsi" w:hAnsiTheme="majorHAnsi"/>
          <w:b/>
          <w:color w:val="E36C0A" w:themeColor="accent6" w:themeShade="BF"/>
          <w:sz w:val="28"/>
          <w:szCs w:val="28"/>
        </w:rPr>
        <w:t>avoir plus sur le millésime 20</w:t>
      </w:r>
      <w:r w:rsidR="008D7365">
        <w:rPr>
          <w:rFonts w:asciiTheme="majorHAnsi" w:hAnsiTheme="majorHAnsi"/>
          <w:b/>
          <w:color w:val="E36C0A" w:themeColor="accent6" w:themeShade="BF"/>
          <w:sz w:val="28"/>
          <w:szCs w:val="28"/>
        </w:rPr>
        <w:t>2</w:t>
      </w:r>
      <w:r w:rsidR="00560C80">
        <w:rPr>
          <w:rFonts w:asciiTheme="majorHAnsi" w:hAnsiTheme="majorHAnsi"/>
          <w:b/>
          <w:color w:val="E36C0A" w:themeColor="accent6" w:themeShade="BF"/>
          <w:sz w:val="28"/>
          <w:szCs w:val="28"/>
        </w:rPr>
        <w:t>1</w:t>
      </w:r>
      <w:r w:rsidRPr="002F1C69">
        <w:rPr>
          <w:rFonts w:asciiTheme="majorHAnsi" w:hAnsiTheme="majorHAnsi"/>
          <w:b/>
          <w:color w:val="E36C0A" w:themeColor="accent6" w:themeShade="BF"/>
          <w:sz w:val="28"/>
          <w:szCs w:val="28"/>
        </w:rPr>
        <w:t> :</w:t>
      </w:r>
    </w:p>
    <w:p w:rsidR="00915ADE" w:rsidRPr="002F1C69" w:rsidRDefault="00915ADE" w:rsidP="002F1C69">
      <w:pPr>
        <w:spacing w:after="0"/>
        <w:jc w:val="both"/>
        <w:rPr>
          <w:rFonts w:asciiTheme="majorHAnsi" w:hAnsiTheme="majorHAnsi"/>
          <w:sz w:val="24"/>
          <w:szCs w:val="24"/>
        </w:rPr>
      </w:pPr>
    </w:p>
    <w:p w:rsidR="00915ADE" w:rsidRPr="002F1C69" w:rsidRDefault="00915AD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Type de sol :</w:t>
      </w:r>
      <w:r w:rsidRPr="002F1C69">
        <w:rPr>
          <w:rFonts w:asciiTheme="majorHAnsi" w:hAnsiTheme="majorHAnsi"/>
          <w:sz w:val="24"/>
          <w:szCs w:val="24"/>
        </w:rPr>
        <w:t xml:space="preserve"> argiles rouges à silex, roche mère calcaire en profondeur</w:t>
      </w:r>
    </w:p>
    <w:p w:rsidR="00915ADE" w:rsidRPr="002F1C69" w:rsidRDefault="00915AD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Exposition des vignes :</w:t>
      </w:r>
      <w:r w:rsidR="00FA4A68" w:rsidRPr="002F1C69">
        <w:rPr>
          <w:rFonts w:asciiTheme="majorHAnsi" w:hAnsiTheme="majorHAnsi"/>
          <w:sz w:val="24"/>
          <w:szCs w:val="24"/>
        </w:rPr>
        <w:t xml:space="preserve"> sud-</w:t>
      </w:r>
      <w:r w:rsidR="00832453" w:rsidRPr="002F1C69">
        <w:rPr>
          <w:rFonts w:asciiTheme="majorHAnsi" w:hAnsiTheme="majorHAnsi"/>
          <w:sz w:val="24"/>
          <w:szCs w:val="24"/>
        </w:rPr>
        <w:t>est</w:t>
      </w:r>
    </w:p>
    <w:p w:rsidR="00915ADE" w:rsidRPr="002F1C69" w:rsidRDefault="00915AD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Âge des vignes :</w:t>
      </w:r>
      <w:r w:rsidR="00FA4A68" w:rsidRPr="002F1C69">
        <w:rPr>
          <w:rFonts w:asciiTheme="majorHAnsi" w:hAnsiTheme="majorHAnsi"/>
          <w:sz w:val="24"/>
          <w:szCs w:val="24"/>
        </w:rPr>
        <w:t xml:space="preserve"> 120</w:t>
      </w:r>
      <w:r w:rsidRPr="002F1C69">
        <w:rPr>
          <w:rFonts w:asciiTheme="majorHAnsi" w:hAnsiTheme="majorHAnsi"/>
          <w:sz w:val="24"/>
          <w:szCs w:val="24"/>
        </w:rPr>
        <w:t xml:space="preserve"> ans</w:t>
      </w:r>
    </w:p>
    <w:p w:rsidR="000330D1" w:rsidRPr="002F1C69" w:rsidRDefault="000330D1"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Travail de la vigne :</w:t>
      </w:r>
      <w:r w:rsidRPr="002F1C69">
        <w:rPr>
          <w:rFonts w:asciiTheme="majorHAnsi" w:hAnsiTheme="majorHAnsi"/>
          <w:sz w:val="24"/>
          <w:szCs w:val="24"/>
        </w:rPr>
        <w:t xml:space="preserve"> vignes cultivées en BIO et BIODYNAMIE (certifications ECOCERT et BIODYVIN)</w:t>
      </w:r>
    </w:p>
    <w:p w:rsidR="00C029EC" w:rsidRPr="002F1C69" w:rsidRDefault="00915AD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Vendanges :</w:t>
      </w:r>
      <w:r w:rsidRPr="002F1C69">
        <w:rPr>
          <w:rFonts w:asciiTheme="majorHAnsi" w:hAnsiTheme="majorHAnsi"/>
          <w:sz w:val="24"/>
          <w:szCs w:val="24"/>
        </w:rPr>
        <w:t xml:space="preserve"> manuelles</w:t>
      </w:r>
      <w:r w:rsidR="00832453" w:rsidRPr="002F1C69">
        <w:rPr>
          <w:rFonts w:asciiTheme="majorHAnsi" w:hAnsiTheme="majorHAnsi"/>
          <w:sz w:val="24"/>
          <w:szCs w:val="24"/>
        </w:rPr>
        <w:t xml:space="preserve"> </w:t>
      </w:r>
      <w:proofErr w:type="gramStart"/>
      <w:r w:rsidR="00560C80">
        <w:rPr>
          <w:rFonts w:asciiTheme="majorHAnsi" w:hAnsiTheme="majorHAnsi"/>
          <w:sz w:val="24"/>
          <w:szCs w:val="24"/>
        </w:rPr>
        <w:t>les 1</w:t>
      </w:r>
      <w:r w:rsidR="00560C80" w:rsidRPr="00560C80">
        <w:rPr>
          <w:rFonts w:asciiTheme="majorHAnsi" w:hAnsiTheme="majorHAnsi"/>
          <w:sz w:val="24"/>
          <w:szCs w:val="24"/>
          <w:vertAlign w:val="superscript"/>
        </w:rPr>
        <w:t>er</w:t>
      </w:r>
      <w:proofErr w:type="gramEnd"/>
      <w:r w:rsidR="00560C80">
        <w:rPr>
          <w:rFonts w:asciiTheme="majorHAnsi" w:hAnsiTheme="majorHAnsi"/>
          <w:sz w:val="24"/>
          <w:szCs w:val="24"/>
        </w:rPr>
        <w:t xml:space="preserve"> et 2 octobre 2021</w:t>
      </w:r>
      <w:r w:rsidR="00B30134">
        <w:rPr>
          <w:rFonts w:asciiTheme="majorHAnsi" w:hAnsiTheme="majorHAnsi"/>
          <w:sz w:val="24"/>
          <w:szCs w:val="24"/>
        </w:rPr>
        <w:t>.</w:t>
      </w:r>
    </w:p>
    <w:p w:rsidR="00915ADE" w:rsidRDefault="00915ADE" w:rsidP="002F1C69">
      <w:pPr>
        <w:spacing w:after="0"/>
        <w:jc w:val="both"/>
        <w:rPr>
          <w:rFonts w:asciiTheme="majorHAnsi" w:hAnsiTheme="majorHAnsi"/>
          <w:sz w:val="24"/>
          <w:szCs w:val="24"/>
        </w:rPr>
      </w:pPr>
      <w:r w:rsidRPr="002F1C69">
        <w:rPr>
          <w:rFonts w:asciiTheme="majorHAnsi" w:hAnsiTheme="majorHAnsi"/>
          <w:b/>
          <w:color w:val="E36C0A" w:themeColor="accent6" w:themeShade="BF"/>
          <w:sz w:val="24"/>
          <w:szCs w:val="24"/>
        </w:rPr>
        <w:t>Vinification / Elevage :</w:t>
      </w:r>
      <w:r w:rsidRPr="002F1C69">
        <w:rPr>
          <w:rFonts w:asciiTheme="majorHAnsi" w:hAnsiTheme="majorHAnsi"/>
          <w:sz w:val="24"/>
          <w:szCs w:val="24"/>
        </w:rPr>
        <w:t xml:space="preserve"> </w:t>
      </w:r>
      <w:r w:rsidR="00AE13AE" w:rsidRPr="002F1C69">
        <w:rPr>
          <w:rFonts w:asciiTheme="majorHAnsi" w:hAnsiTheme="majorHAnsi"/>
          <w:sz w:val="24"/>
          <w:szCs w:val="24"/>
        </w:rPr>
        <w:t>la vendange éraflée</w:t>
      </w:r>
      <w:r w:rsidR="00560C80">
        <w:rPr>
          <w:rFonts w:asciiTheme="majorHAnsi" w:hAnsiTheme="majorHAnsi"/>
          <w:sz w:val="24"/>
          <w:szCs w:val="24"/>
        </w:rPr>
        <w:t xml:space="preserve"> et macérée en fermentée par les levures indigènes</w:t>
      </w:r>
      <w:r w:rsidR="00FA4A68" w:rsidRPr="002F1C69">
        <w:rPr>
          <w:rFonts w:asciiTheme="majorHAnsi" w:hAnsiTheme="majorHAnsi"/>
          <w:sz w:val="24"/>
          <w:szCs w:val="24"/>
        </w:rPr>
        <w:t xml:space="preserve"> en cuve béton</w:t>
      </w:r>
      <w:r w:rsidR="00560C80">
        <w:rPr>
          <w:rFonts w:asciiTheme="majorHAnsi" w:hAnsiTheme="majorHAnsi"/>
          <w:sz w:val="24"/>
          <w:szCs w:val="24"/>
        </w:rPr>
        <w:t xml:space="preserve"> sans </w:t>
      </w:r>
      <w:proofErr w:type="spellStart"/>
      <w:r w:rsidR="00560C80">
        <w:rPr>
          <w:rFonts w:asciiTheme="majorHAnsi" w:hAnsiTheme="majorHAnsi"/>
          <w:sz w:val="24"/>
          <w:szCs w:val="24"/>
        </w:rPr>
        <w:t>pigeages</w:t>
      </w:r>
      <w:proofErr w:type="spellEnd"/>
      <w:r w:rsidR="00560C80">
        <w:rPr>
          <w:rFonts w:asciiTheme="majorHAnsi" w:hAnsiTheme="majorHAnsi"/>
          <w:sz w:val="24"/>
          <w:szCs w:val="24"/>
        </w:rPr>
        <w:t xml:space="preserve"> ni remontages</w:t>
      </w:r>
      <w:r w:rsidR="00FA4A68" w:rsidRPr="002F1C69">
        <w:rPr>
          <w:rFonts w:asciiTheme="majorHAnsi" w:hAnsiTheme="majorHAnsi"/>
          <w:sz w:val="24"/>
          <w:szCs w:val="24"/>
        </w:rPr>
        <w:t>. Elevage de 9 mo</w:t>
      </w:r>
      <w:r w:rsidR="00EA328E">
        <w:rPr>
          <w:rFonts w:asciiTheme="majorHAnsi" w:hAnsiTheme="majorHAnsi"/>
          <w:sz w:val="24"/>
          <w:szCs w:val="24"/>
        </w:rPr>
        <w:t>is en fûts de 225</w:t>
      </w:r>
      <w:r w:rsidR="00560C80">
        <w:rPr>
          <w:rFonts w:asciiTheme="majorHAnsi" w:hAnsiTheme="majorHAnsi"/>
          <w:sz w:val="24"/>
          <w:szCs w:val="24"/>
        </w:rPr>
        <w:t xml:space="preserve"> l afin </w:t>
      </w:r>
      <w:r w:rsidR="00FA4A68" w:rsidRPr="002F1C69">
        <w:rPr>
          <w:rFonts w:asciiTheme="majorHAnsi" w:hAnsiTheme="majorHAnsi"/>
          <w:sz w:val="24"/>
          <w:szCs w:val="24"/>
        </w:rPr>
        <w:t>de préserver un maximum le fruit. L’objectif est de révéler le meilleur potentiel de ce cépage : tanins fins et fruits noirs sur le plan aromatique.</w:t>
      </w:r>
    </w:p>
    <w:p w:rsidR="00560C80" w:rsidRPr="002F1C69" w:rsidRDefault="00560C80" w:rsidP="00560C80">
      <w:pPr>
        <w:spacing w:after="0"/>
        <w:jc w:val="both"/>
        <w:rPr>
          <w:rFonts w:asciiTheme="majorHAnsi" w:hAnsiTheme="majorHAnsi"/>
          <w:sz w:val="24"/>
          <w:szCs w:val="24"/>
        </w:rPr>
      </w:pPr>
      <w:r>
        <w:rPr>
          <w:rFonts w:asciiTheme="majorHAnsi" w:hAnsiTheme="majorHAnsi"/>
          <w:b/>
          <w:color w:val="E36C0A" w:themeColor="accent6" w:themeShade="BF"/>
          <w:sz w:val="24"/>
          <w:szCs w:val="24"/>
        </w:rPr>
        <w:t>Mise en bouteille</w:t>
      </w:r>
      <w:bookmarkStart w:id="0" w:name="_GoBack"/>
      <w:bookmarkEnd w:id="0"/>
      <w:r w:rsidRPr="002F1C69">
        <w:rPr>
          <w:rFonts w:asciiTheme="majorHAnsi" w:hAnsiTheme="majorHAnsi"/>
          <w:b/>
          <w:color w:val="E36C0A" w:themeColor="accent6" w:themeShade="BF"/>
          <w:sz w:val="24"/>
          <w:szCs w:val="24"/>
        </w:rPr>
        <w:t> :</w:t>
      </w:r>
      <w:r w:rsidRPr="002F1C69">
        <w:rPr>
          <w:rFonts w:asciiTheme="majorHAnsi" w:hAnsiTheme="majorHAnsi"/>
          <w:sz w:val="24"/>
          <w:szCs w:val="24"/>
        </w:rPr>
        <w:t xml:space="preserve"> </w:t>
      </w:r>
      <w:r>
        <w:rPr>
          <w:rFonts w:asciiTheme="majorHAnsi" w:hAnsiTheme="majorHAnsi"/>
          <w:sz w:val="24"/>
          <w:szCs w:val="24"/>
        </w:rPr>
        <w:t>juillet 2022</w:t>
      </w:r>
    </w:p>
    <w:p w:rsidR="00915ADE" w:rsidRPr="002F1C69" w:rsidRDefault="00915ADE" w:rsidP="002F1C69">
      <w:pPr>
        <w:spacing w:after="0"/>
        <w:jc w:val="both"/>
        <w:rPr>
          <w:rFonts w:asciiTheme="majorHAnsi" w:hAnsiTheme="majorHAnsi"/>
          <w:sz w:val="24"/>
          <w:szCs w:val="24"/>
        </w:rPr>
      </w:pPr>
    </w:p>
    <w:p w:rsidR="000159EE" w:rsidRPr="000159EE" w:rsidRDefault="000159EE">
      <w:pPr>
        <w:rPr>
          <w:sz w:val="20"/>
          <w:szCs w:val="20"/>
        </w:rPr>
      </w:pPr>
      <w:r w:rsidRPr="000159EE">
        <w:rPr>
          <w:sz w:val="20"/>
          <w:szCs w:val="20"/>
        </w:rPr>
        <w:t xml:space="preserve">Lieu-dit La Grange Tiphaine, 37400 AMBOISE  </w:t>
      </w:r>
      <w:r w:rsidRPr="000159EE">
        <w:rPr>
          <w:rFonts w:ascii="Arial" w:hAnsi="Arial" w:cs="Arial"/>
          <w:color w:val="E36C0A" w:themeColor="accent6" w:themeShade="BF"/>
          <w:sz w:val="20"/>
          <w:szCs w:val="20"/>
        </w:rPr>
        <w:t xml:space="preserve">• </w:t>
      </w:r>
      <w:r w:rsidRPr="000159EE">
        <w:rPr>
          <w:color w:val="E36C0A" w:themeColor="accent6" w:themeShade="BF"/>
          <w:sz w:val="20"/>
          <w:szCs w:val="20"/>
        </w:rPr>
        <w:t xml:space="preserve"> </w:t>
      </w:r>
      <w:hyperlink r:id="rId6" w:history="1">
        <w:r w:rsidRPr="000159EE">
          <w:rPr>
            <w:rStyle w:val="Lienhypertexte"/>
            <w:color w:val="auto"/>
            <w:sz w:val="20"/>
            <w:szCs w:val="20"/>
            <w:u w:val="none"/>
          </w:rPr>
          <w:t>lagrangetiphaine@wanadoo.fr</w:t>
        </w:r>
      </w:hyperlink>
      <w:r w:rsidRPr="000159EE">
        <w:rPr>
          <w:sz w:val="20"/>
          <w:szCs w:val="20"/>
        </w:rPr>
        <w:t xml:space="preserve">  </w:t>
      </w:r>
      <w:r w:rsidRPr="000159EE">
        <w:rPr>
          <w:rFonts w:ascii="Arial" w:hAnsi="Arial" w:cs="Arial"/>
          <w:color w:val="E36C0A" w:themeColor="accent6" w:themeShade="BF"/>
          <w:sz w:val="20"/>
          <w:szCs w:val="20"/>
        </w:rPr>
        <w:t>•</w:t>
      </w:r>
      <w:r w:rsidRPr="000159EE">
        <w:rPr>
          <w:color w:val="E36C0A" w:themeColor="accent6" w:themeShade="BF"/>
          <w:sz w:val="20"/>
          <w:szCs w:val="20"/>
        </w:rPr>
        <w:t xml:space="preserve">  </w:t>
      </w:r>
      <w:hyperlink r:id="rId7" w:history="1">
        <w:r w:rsidRPr="000159EE">
          <w:rPr>
            <w:rStyle w:val="Lienhypertexte"/>
            <w:color w:val="auto"/>
            <w:sz w:val="20"/>
            <w:szCs w:val="20"/>
            <w:u w:val="none"/>
          </w:rPr>
          <w:t>www.lagrangetiphaine.com</w:t>
        </w:r>
      </w:hyperlink>
      <w:r w:rsidRPr="000159EE">
        <w:rPr>
          <w:sz w:val="20"/>
          <w:szCs w:val="20"/>
        </w:rPr>
        <w:t xml:space="preserve">  </w:t>
      </w:r>
      <w:r w:rsidRPr="000159EE">
        <w:rPr>
          <w:rFonts w:ascii="Arial" w:hAnsi="Arial" w:cs="Arial"/>
          <w:color w:val="E36C0A" w:themeColor="accent6" w:themeShade="BF"/>
          <w:sz w:val="20"/>
          <w:szCs w:val="20"/>
        </w:rPr>
        <w:t xml:space="preserve">• </w:t>
      </w:r>
      <w:r w:rsidRPr="000159EE">
        <w:rPr>
          <w:color w:val="E36C0A" w:themeColor="accent6" w:themeShade="BF"/>
          <w:sz w:val="20"/>
          <w:szCs w:val="20"/>
        </w:rPr>
        <w:t xml:space="preserve"> </w:t>
      </w:r>
      <w:r w:rsidRPr="000159EE">
        <w:rPr>
          <w:sz w:val="20"/>
          <w:szCs w:val="20"/>
        </w:rPr>
        <w:t>06.83.72.80.47</w:t>
      </w:r>
    </w:p>
    <w:sectPr w:rsidR="000159EE" w:rsidRPr="000159EE" w:rsidSect="000159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159EE"/>
    <w:rsid w:val="000159EE"/>
    <w:rsid w:val="000330D1"/>
    <w:rsid w:val="00066E66"/>
    <w:rsid w:val="000912AB"/>
    <w:rsid w:val="00231AB0"/>
    <w:rsid w:val="002E62A4"/>
    <w:rsid w:val="002F1C69"/>
    <w:rsid w:val="004B5659"/>
    <w:rsid w:val="004D14D4"/>
    <w:rsid w:val="00542AA0"/>
    <w:rsid w:val="00560C80"/>
    <w:rsid w:val="00563DAE"/>
    <w:rsid w:val="00574707"/>
    <w:rsid w:val="006E6F6C"/>
    <w:rsid w:val="00802846"/>
    <w:rsid w:val="00832453"/>
    <w:rsid w:val="008D7365"/>
    <w:rsid w:val="00915ADE"/>
    <w:rsid w:val="00AE13AE"/>
    <w:rsid w:val="00AE38F7"/>
    <w:rsid w:val="00B30134"/>
    <w:rsid w:val="00B702A7"/>
    <w:rsid w:val="00C029EC"/>
    <w:rsid w:val="00EA328E"/>
    <w:rsid w:val="00F34A00"/>
    <w:rsid w:val="00FA4A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A9936-134C-49EB-BC0F-586A84B4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4D4"/>
  </w:style>
  <w:style w:type="paragraph" w:styleId="Titre1">
    <w:name w:val="heading 1"/>
    <w:basedOn w:val="Normal"/>
    <w:next w:val="Normal"/>
    <w:link w:val="Titre1Car"/>
    <w:uiPriority w:val="9"/>
    <w:qFormat/>
    <w:rsid w:val="002F1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59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9EE"/>
    <w:rPr>
      <w:rFonts w:ascii="Tahoma" w:hAnsi="Tahoma" w:cs="Tahoma"/>
      <w:sz w:val="16"/>
      <w:szCs w:val="16"/>
    </w:rPr>
  </w:style>
  <w:style w:type="character" w:styleId="Lienhypertexte">
    <w:name w:val="Hyperlink"/>
    <w:basedOn w:val="Policepardfaut"/>
    <w:uiPriority w:val="99"/>
    <w:unhideWhenUsed/>
    <w:rsid w:val="000159EE"/>
    <w:rPr>
      <w:color w:val="0000FF" w:themeColor="hyperlink"/>
      <w:u w:val="single"/>
    </w:rPr>
  </w:style>
  <w:style w:type="character" w:customStyle="1" w:styleId="Titre1Car">
    <w:name w:val="Titre 1 Car"/>
    <w:basedOn w:val="Policepardfaut"/>
    <w:link w:val="Titre1"/>
    <w:uiPriority w:val="9"/>
    <w:rsid w:val="002F1C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grangetipha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grangetiphaine@wanadoo.fr"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249</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C Delecheneau</cp:lastModifiedBy>
  <cp:revision>7</cp:revision>
  <cp:lastPrinted>2018-12-05T10:23:00Z</cp:lastPrinted>
  <dcterms:created xsi:type="dcterms:W3CDTF">2019-11-07T16:02:00Z</dcterms:created>
  <dcterms:modified xsi:type="dcterms:W3CDTF">2023-03-23T10:14:00Z</dcterms:modified>
</cp:coreProperties>
</file>